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35CB" w14:textId="7EDF4229" w:rsidR="00666F1E" w:rsidRPr="0076723F" w:rsidRDefault="000120AD" w:rsidP="000E3411">
      <w:pPr>
        <w:pStyle w:val="Heading1"/>
      </w:pPr>
      <w:r w:rsidRPr="0076723F">
        <w:t xml:space="preserve">Digital First Primary Care </w:t>
      </w:r>
      <w:r w:rsidRPr="0076723F">
        <w:t>g</w:t>
      </w:r>
      <w:r w:rsidR="000C27BF" w:rsidRPr="0076723F">
        <w:t>lossary</w:t>
      </w:r>
    </w:p>
    <w:p w14:paraId="77B8BB36" w14:textId="77777777" w:rsidR="00666F1E" w:rsidRPr="0076723F" w:rsidRDefault="00666F1E" w:rsidP="00A331A8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</w:p>
    <w:p w14:paraId="791DCCBB" w14:textId="77777777" w:rsidR="00C566C6" w:rsidRPr="0076723F" w:rsidRDefault="00C566C6" w:rsidP="00A331A8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</w:p>
    <w:tbl>
      <w:tblPr>
        <w:tblpPr w:leftFromText="180" w:rightFromText="180" w:vertAnchor="text" w:horzAnchor="margin" w:tblpY="56"/>
        <w:tblW w:w="14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2191"/>
      </w:tblGrid>
      <w:tr w:rsidR="000C27BF" w:rsidRPr="0076723F" w14:paraId="4BC7514C" w14:textId="403DA6B8" w:rsidTr="00266A47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38F0BEC" w14:textId="752AFE75" w:rsidR="000C27BF" w:rsidRPr="0076723F" w:rsidRDefault="000C27BF" w:rsidP="000C27B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76723F">
              <w:rPr>
                <w:rFonts w:ascii="Arial" w:hAnsi="Arial" w:cs="Arial"/>
                <w:b/>
                <w:color w:val="FFFFFF"/>
                <w:sz w:val="24"/>
                <w:szCs w:val="24"/>
                <w:lang w:val="en-GB"/>
              </w:rPr>
              <w:t>Term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831B6DD" w14:textId="4BEE8AE3" w:rsidR="000C27BF" w:rsidRPr="0076723F" w:rsidRDefault="000C27BF" w:rsidP="000C27B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color w:val="FFFFFF"/>
                <w:sz w:val="24"/>
                <w:szCs w:val="24"/>
                <w:lang w:val="en-GB"/>
              </w:rPr>
            </w:pPr>
            <w:r w:rsidRPr="0076723F">
              <w:rPr>
                <w:rFonts w:ascii="Arial" w:hAnsi="Arial" w:cs="Arial"/>
                <w:b/>
                <w:color w:val="FFFFFF"/>
                <w:sz w:val="24"/>
                <w:szCs w:val="24"/>
                <w:lang w:val="en-GB"/>
              </w:rPr>
              <w:t>Definition</w:t>
            </w:r>
          </w:p>
        </w:tc>
      </w:tr>
      <w:tr w:rsidR="00266A47" w:rsidRPr="0076723F" w14:paraId="5DA6BC0D" w14:textId="473D3ADA" w:rsidTr="00266A47">
        <w:trPr>
          <w:trHeight w:val="255"/>
        </w:trPr>
        <w:tc>
          <w:tcPr>
            <w:tcW w:w="2405" w:type="dxa"/>
            <w:vAlign w:val="center"/>
          </w:tcPr>
          <w:p w14:paraId="79B128DE" w14:textId="30CC96B8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Access demand</w:t>
            </w:r>
          </w:p>
        </w:tc>
        <w:tc>
          <w:tcPr>
            <w:tcW w:w="12191" w:type="dxa"/>
            <w:tcBorders>
              <w:top w:val="single" w:sz="4" w:space="0" w:color="auto"/>
            </w:tcBorders>
            <w:vAlign w:val="center"/>
          </w:tcPr>
          <w:p w14:paraId="13079EAE" w14:textId="33BED94D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The number of patients attempting to use a service, ideally split down, and understood by channel (see below), time and date.</w:t>
            </w:r>
          </w:p>
        </w:tc>
      </w:tr>
      <w:tr w:rsidR="00266A47" w:rsidRPr="0076723F" w14:paraId="04789653" w14:textId="2E10F8CA" w:rsidTr="00266A47">
        <w:trPr>
          <w:trHeight w:val="255"/>
        </w:trPr>
        <w:tc>
          <w:tcPr>
            <w:tcW w:w="2405" w:type="dxa"/>
            <w:vAlign w:val="center"/>
          </w:tcPr>
          <w:p w14:paraId="06A0A55C" w14:textId="3BA32B40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ARRS</w:t>
            </w:r>
          </w:p>
        </w:tc>
        <w:tc>
          <w:tcPr>
            <w:tcW w:w="12191" w:type="dxa"/>
            <w:vAlign w:val="center"/>
          </w:tcPr>
          <w:p w14:paraId="5C252B75" w14:textId="7DBF0CA4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Additional Roles Reimbursement Scheme</w:t>
            </w:r>
          </w:p>
        </w:tc>
      </w:tr>
      <w:tr w:rsidR="00266A47" w:rsidRPr="0076723F" w14:paraId="7402E8E5" w14:textId="582A0CCB" w:rsidTr="00266A47">
        <w:trPr>
          <w:trHeight w:val="16"/>
        </w:trPr>
        <w:tc>
          <w:tcPr>
            <w:tcW w:w="2405" w:type="dxa"/>
            <w:vAlign w:val="center"/>
          </w:tcPr>
          <w:p w14:paraId="4DEEE248" w14:textId="2554D9FA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Toolkit</w:t>
            </w:r>
          </w:p>
        </w:tc>
        <w:tc>
          <w:tcPr>
            <w:tcW w:w="12191" w:type="dxa"/>
            <w:vAlign w:val="center"/>
          </w:tcPr>
          <w:p w14:paraId="6039A7E1" w14:textId="433B22F6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Outline operating solution which others can easily replicate or apply to their own delivery solution to gain similar benefits realisation</w:t>
            </w:r>
          </w:p>
        </w:tc>
      </w:tr>
      <w:tr w:rsidR="00266A47" w:rsidRPr="0076723F" w14:paraId="4692FB8E" w14:textId="1B64E877" w:rsidTr="00266A47">
        <w:trPr>
          <w:trHeight w:val="255"/>
        </w:trPr>
        <w:tc>
          <w:tcPr>
            <w:tcW w:w="2405" w:type="dxa"/>
            <w:vAlign w:val="center"/>
          </w:tcPr>
          <w:p w14:paraId="2302732D" w14:textId="4EB91AB9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Channel</w:t>
            </w:r>
          </w:p>
        </w:tc>
        <w:tc>
          <w:tcPr>
            <w:tcW w:w="12191" w:type="dxa"/>
            <w:vAlign w:val="center"/>
          </w:tcPr>
          <w:p w14:paraId="0936E491" w14:textId="2E42FF81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Generic term to cover the possible ways in which a patient can choose to communicate or which the NHS actively communicates with them – email, SMS, telephone, web chat, online consultation, website, mail, poster, notice</w:t>
            </w:r>
          </w:p>
        </w:tc>
      </w:tr>
      <w:tr w:rsidR="00266A47" w:rsidRPr="0076723F" w14:paraId="7CC9C163" w14:textId="70E2A903" w:rsidTr="00266A47">
        <w:trPr>
          <w:trHeight w:val="255"/>
        </w:trPr>
        <w:tc>
          <w:tcPr>
            <w:tcW w:w="2405" w:type="dxa"/>
            <w:vAlign w:val="center"/>
          </w:tcPr>
          <w:p w14:paraId="24313192" w14:textId="5B50B89A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CQC</w:t>
            </w:r>
          </w:p>
        </w:tc>
        <w:tc>
          <w:tcPr>
            <w:tcW w:w="12191" w:type="dxa"/>
            <w:vAlign w:val="center"/>
          </w:tcPr>
          <w:p w14:paraId="427ABCDE" w14:textId="42C6C363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Care Quality Commission</w:t>
            </w:r>
          </w:p>
        </w:tc>
      </w:tr>
      <w:tr w:rsidR="00266A47" w:rsidRPr="0076723F" w14:paraId="7E01E7AF" w14:textId="68443AA5" w:rsidTr="00266A47">
        <w:trPr>
          <w:trHeight w:val="255"/>
        </w:trPr>
        <w:tc>
          <w:tcPr>
            <w:tcW w:w="2405" w:type="dxa"/>
            <w:vAlign w:val="center"/>
          </w:tcPr>
          <w:p w14:paraId="1FF5B339" w14:textId="5E4285D4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DDI</w:t>
            </w:r>
          </w:p>
        </w:tc>
        <w:tc>
          <w:tcPr>
            <w:tcW w:w="12191" w:type="dxa"/>
            <w:vAlign w:val="center"/>
          </w:tcPr>
          <w:p w14:paraId="1C8ACCBF" w14:textId="39150031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Direct Dialling Inward – multiple telephone numbers into a single circuit</w:t>
            </w:r>
          </w:p>
        </w:tc>
      </w:tr>
      <w:tr w:rsidR="00266A47" w:rsidRPr="0076723F" w14:paraId="271FE6F5" w14:textId="3254760D" w:rsidTr="00266A47">
        <w:trPr>
          <w:trHeight w:val="255"/>
        </w:trPr>
        <w:tc>
          <w:tcPr>
            <w:tcW w:w="2405" w:type="dxa"/>
            <w:vAlign w:val="center"/>
          </w:tcPr>
          <w:p w14:paraId="01A58ECD" w14:textId="75B51A09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DFPC</w:t>
            </w:r>
          </w:p>
        </w:tc>
        <w:tc>
          <w:tcPr>
            <w:tcW w:w="12191" w:type="dxa"/>
            <w:vAlign w:val="center"/>
          </w:tcPr>
          <w:p w14:paraId="6D41A1F1" w14:textId="3FB4BAFD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Digital First Primary Care</w:t>
            </w:r>
          </w:p>
        </w:tc>
      </w:tr>
      <w:tr w:rsidR="00266A47" w:rsidRPr="0076723F" w14:paraId="40166540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6C91676D" w14:textId="35C2FABF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EoL</w:t>
            </w:r>
            <w:proofErr w:type="spellEnd"/>
          </w:p>
        </w:tc>
        <w:tc>
          <w:tcPr>
            <w:tcW w:w="12191" w:type="dxa"/>
            <w:vAlign w:val="center"/>
          </w:tcPr>
          <w:p w14:paraId="2139C3B9" w14:textId="141A4DC7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End of Life</w:t>
            </w:r>
          </w:p>
        </w:tc>
      </w:tr>
      <w:tr w:rsidR="00266A47" w:rsidRPr="0076723F" w14:paraId="1AC09185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575139E8" w14:textId="50267D58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GM</w:t>
            </w:r>
          </w:p>
        </w:tc>
        <w:tc>
          <w:tcPr>
            <w:tcW w:w="12191" w:type="dxa"/>
            <w:vAlign w:val="center"/>
          </w:tcPr>
          <w:p w14:paraId="62275A50" w14:textId="6FA37FB1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Greater Manchester</w:t>
            </w:r>
          </w:p>
        </w:tc>
      </w:tr>
      <w:tr w:rsidR="00266A47" w:rsidRPr="0076723F" w14:paraId="4680D79F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6FDA15C5" w14:textId="6E66AAA0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GPAD</w:t>
            </w:r>
          </w:p>
        </w:tc>
        <w:tc>
          <w:tcPr>
            <w:tcW w:w="12191" w:type="dxa"/>
            <w:vAlign w:val="center"/>
          </w:tcPr>
          <w:p w14:paraId="1C821C35" w14:textId="73ACA9BE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GP Appointment Data</w:t>
            </w:r>
          </w:p>
        </w:tc>
      </w:tr>
      <w:tr w:rsidR="00266A47" w:rsidRPr="0076723F" w14:paraId="3A586ECD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49674C50" w14:textId="41F8D456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HInM</w:t>
            </w:r>
            <w:proofErr w:type="spellEnd"/>
          </w:p>
        </w:tc>
        <w:tc>
          <w:tcPr>
            <w:tcW w:w="12191" w:type="dxa"/>
            <w:vAlign w:val="center"/>
          </w:tcPr>
          <w:p w14:paraId="1AE7669E" w14:textId="01F6B9E4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Health Innovation Manchester</w:t>
            </w:r>
          </w:p>
        </w:tc>
      </w:tr>
      <w:tr w:rsidR="00266A47" w:rsidRPr="0076723F" w14:paraId="75AB5A8D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712687F9" w14:textId="714620B7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Hub</w:t>
            </w:r>
          </w:p>
        </w:tc>
        <w:tc>
          <w:tcPr>
            <w:tcW w:w="12191" w:type="dxa"/>
            <w:vAlign w:val="center"/>
          </w:tcPr>
          <w:p w14:paraId="6E3B57FC" w14:textId="2A61F1DD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Operational concept bringing together resources and operational management into a centralised space – virtual, physical or a combination of the two</w:t>
            </w:r>
          </w:p>
        </w:tc>
      </w:tr>
      <w:tr w:rsidR="00266A47" w:rsidRPr="0076723F" w14:paraId="2ED3CEF8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70F75348" w14:textId="0A886C8D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IIF</w:t>
            </w:r>
          </w:p>
        </w:tc>
        <w:tc>
          <w:tcPr>
            <w:tcW w:w="12191" w:type="dxa"/>
            <w:vAlign w:val="center"/>
          </w:tcPr>
          <w:p w14:paraId="5B42DAE1" w14:textId="2EB918B8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Investment and Impact Fund</w:t>
            </w:r>
          </w:p>
        </w:tc>
      </w:tr>
      <w:tr w:rsidR="00266A47" w:rsidRPr="0076723F" w14:paraId="4E825447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02501A1C" w14:textId="0DF606DD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IVR</w:t>
            </w:r>
          </w:p>
        </w:tc>
        <w:tc>
          <w:tcPr>
            <w:tcW w:w="12191" w:type="dxa"/>
            <w:vAlign w:val="center"/>
          </w:tcPr>
          <w:p w14:paraId="560665F5" w14:textId="327212B8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Interactive Voice Response – system to allow callers to interact with options on the telephony system</w:t>
            </w:r>
          </w:p>
        </w:tc>
      </w:tr>
      <w:tr w:rsidR="00266A47" w:rsidRPr="0076723F" w14:paraId="75DB3126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4C048780" w14:textId="5D44ECCA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KPI</w:t>
            </w:r>
          </w:p>
        </w:tc>
        <w:tc>
          <w:tcPr>
            <w:tcW w:w="12191" w:type="dxa"/>
            <w:vAlign w:val="center"/>
          </w:tcPr>
          <w:p w14:paraId="64CF0AB8" w14:textId="383CFA51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Key Performance Indicator</w:t>
            </w:r>
          </w:p>
        </w:tc>
      </w:tr>
      <w:tr w:rsidR="00266A47" w:rsidRPr="0076723F" w14:paraId="09D13FBE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042958BE" w14:textId="165BD5B6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lastRenderedPageBreak/>
              <w:t>Lighthouse Project</w:t>
            </w:r>
          </w:p>
        </w:tc>
        <w:tc>
          <w:tcPr>
            <w:tcW w:w="12191" w:type="dxa"/>
            <w:vAlign w:val="center"/>
          </w:tcPr>
          <w:p w14:paraId="413E3057" w14:textId="5C226A40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Small scale but big picture project, highly focussed and delivered over a short period of time</w:t>
            </w:r>
          </w:p>
        </w:tc>
      </w:tr>
      <w:tr w:rsidR="00266A47" w:rsidRPr="0076723F" w14:paraId="1666C857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2586CC73" w14:textId="2F530FDD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OC</w:t>
            </w:r>
          </w:p>
        </w:tc>
        <w:tc>
          <w:tcPr>
            <w:tcW w:w="12191" w:type="dxa"/>
            <w:vAlign w:val="center"/>
          </w:tcPr>
          <w:p w14:paraId="3F5E0EB3" w14:textId="2094595E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Online Consultation – enabling patients to contact a GP or other health professional over the internet</w:t>
            </w:r>
          </w:p>
        </w:tc>
      </w:tr>
      <w:tr w:rsidR="00266A47" w:rsidRPr="0076723F" w14:paraId="20206BEA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50EFBFFF" w14:textId="76353AF2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Omni-channel</w:t>
            </w:r>
          </w:p>
        </w:tc>
        <w:tc>
          <w:tcPr>
            <w:tcW w:w="12191" w:type="dxa"/>
            <w:vAlign w:val="center"/>
          </w:tcPr>
          <w:p w14:paraId="18A57FB1" w14:textId="732340E9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Multiple channels of communication (see above) brought together into a single and cohesively managed workflow (often also referred to as multi-channel)</w:t>
            </w:r>
          </w:p>
        </w:tc>
      </w:tr>
      <w:tr w:rsidR="00266A47" w:rsidRPr="0076723F" w14:paraId="4E456F4B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26647C5F" w14:textId="2A7E132C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PAS</w:t>
            </w:r>
          </w:p>
        </w:tc>
        <w:tc>
          <w:tcPr>
            <w:tcW w:w="12191" w:type="dxa"/>
            <w:vAlign w:val="center"/>
          </w:tcPr>
          <w:p w14:paraId="78040BCB" w14:textId="41B24172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Patient Access Strategy – Combined and cohesive approach to the management of communication channels</w:t>
            </w:r>
          </w:p>
        </w:tc>
      </w:tr>
      <w:tr w:rsidR="00266A47" w:rsidRPr="0076723F" w14:paraId="31BE2DD2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0244DE1C" w14:textId="6E8590AC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PCN</w:t>
            </w:r>
          </w:p>
        </w:tc>
        <w:tc>
          <w:tcPr>
            <w:tcW w:w="12191" w:type="dxa"/>
            <w:vAlign w:val="center"/>
          </w:tcPr>
          <w:p w14:paraId="27097AF1" w14:textId="150C03A8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Primary Care Network</w:t>
            </w:r>
          </w:p>
        </w:tc>
      </w:tr>
      <w:tr w:rsidR="00266A47" w:rsidRPr="0076723F" w14:paraId="4E8A6659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0EE3E335" w14:textId="08F51089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QMF</w:t>
            </w:r>
          </w:p>
        </w:tc>
        <w:tc>
          <w:tcPr>
            <w:tcW w:w="12191" w:type="dxa"/>
            <w:vAlign w:val="center"/>
          </w:tcPr>
          <w:p w14:paraId="57901BE1" w14:textId="3C881CB4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Quality Management Framework</w:t>
            </w:r>
          </w:p>
        </w:tc>
      </w:tr>
      <w:tr w:rsidR="00266A47" w:rsidRPr="0076723F" w14:paraId="1F6C865A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0FDFCD76" w14:textId="4CC2036D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QOF</w:t>
            </w:r>
          </w:p>
        </w:tc>
        <w:tc>
          <w:tcPr>
            <w:tcW w:w="12191" w:type="dxa"/>
            <w:vAlign w:val="center"/>
          </w:tcPr>
          <w:p w14:paraId="17D9F3D9" w14:textId="4A0A44DD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Quality and Outcomes Framework</w:t>
            </w:r>
          </w:p>
        </w:tc>
      </w:tr>
      <w:tr w:rsidR="00266A47" w:rsidRPr="0076723F" w14:paraId="65EE125C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07B4CD04" w14:textId="0700AB14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RAG status</w:t>
            </w:r>
          </w:p>
        </w:tc>
        <w:tc>
          <w:tcPr>
            <w:tcW w:w="12191" w:type="dxa"/>
            <w:vAlign w:val="center"/>
          </w:tcPr>
          <w:p w14:paraId="3E29D571" w14:textId="3FAFDB1C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Simple progress classification: Red (requires improvement); Amber (middle ground); Green (performing as expected)</w:t>
            </w:r>
          </w:p>
        </w:tc>
      </w:tr>
      <w:tr w:rsidR="00266A47" w:rsidRPr="0076723F" w14:paraId="3FADA3D3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6F649C0C" w14:textId="58758787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Robotics</w:t>
            </w:r>
          </w:p>
        </w:tc>
        <w:tc>
          <w:tcPr>
            <w:tcW w:w="12191" w:type="dxa"/>
            <w:vAlign w:val="center"/>
          </w:tcPr>
          <w:p w14:paraId="01C362B0" w14:textId="2FDD3563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The use of technology enabled solutions, such as AI (see above) to automate repetitive tasks</w:t>
            </w:r>
          </w:p>
        </w:tc>
      </w:tr>
      <w:tr w:rsidR="00266A47" w:rsidRPr="0076723F" w14:paraId="3FA5EC1D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08655810" w14:textId="5455EDA8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Routed-back</w:t>
            </w:r>
          </w:p>
        </w:tc>
        <w:tc>
          <w:tcPr>
            <w:tcW w:w="12191" w:type="dxa"/>
            <w:vAlign w:val="center"/>
          </w:tcPr>
          <w:p w14:paraId="32F016C2" w14:textId="7F8B25F0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When contacts, being handled by a centralised team on behalf of another organisation (in this case a local practice), are re-connected to the original source organisation (the local practice) to enable the customer to interact with the team there</w:t>
            </w:r>
          </w:p>
        </w:tc>
      </w:tr>
      <w:tr w:rsidR="009B5358" w:rsidRPr="0076723F" w14:paraId="61E19D0C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38D28539" w14:textId="59C9BCEE" w:rsidR="009B5358" w:rsidRPr="001F1708" w:rsidRDefault="009B5358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SaaS</w:t>
            </w:r>
          </w:p>
        </w:tc>
        <w:tc>
          <w:tcPr>
            <w:tcW w:w="12191" w:type="dxa"/>
            <w:vAlign w:val="center"/>
          </w:tcPr>
          <w:p w14:paraId="7F4DAC8D" w14:textId="2B78B980" w:rsidR="009B5358" w:rsidRPr="0076723F" w:rsidRDefault="009B5358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Software as a Service – allowing users to connect to and use cloud-based applications</w:t>
            </w:r>
          </w:p>
        </w:tc>
      </w:tr>
      <w:tr w:rsidR="00266A47" w:rsidRPr="0076723F" w14:paraId="00A63192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5263D3C1" w14:textId="48C05340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Search, Call and Recall</w:t>
            </w:r>
          </w:p>
        </w:tc>
        <w:tc>
          <w:tcPr>
            <w:tcW w:w="12191" w:type="dxa"/>
            <w:vAlign w:val="center"/>
          </w:tcPr>
          <w:p w14:paraId="5ABF86E0" w14:textId="15469B8A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Process for using demographic information held within clinical systems to identify and engage patients who are due or overdue key medical appointments, checks or immunisations</w:t>
            </w:r>
          </w:p>
        </w:tc>
      </w:tr>
      <w:tr w:rsidR="00266A47" w:rsidRPr="0076723F" w14:paraId="11A21760" w14:textId="77777777" w:rsidTr="00266A47">
        <w:trPr>
          <w:trHeight w:val="255"/>
        </w:trPr>
        <w:tc>
          <w:tcPr>
            <w:tcW w:w="2405" w:type="dxa"/>
            <w:vAlign w:val="center"/>
          </w:tcPr>
          <w:p w14:paraId="29558F13" w14:textId="50C9B614" w:rsidR="00266A47" w:rsidRPr="001F1708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1F170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Virtual</w:t>
            </w:r>
          </w:p>
        </w:tc>
        <w:tc>
          <w:tcPr>
            <w:tcW w:w="12191" w:type="dxa"/>
            <w:vAlign w:val="center"/>
          </w:tcPr>
          <w:p w14:paraId="525E95B5" w14:textId="655AF8E7" w:rsidR="00266A47" w:rsidRPr="0076723F" w:rsidRDefault="00266A47" w:rsidP="00266A47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color w:val="000000"/>
                <w:lang w:val="en-GB"/>
              </w:rPr>
            </w:pPr>
            <w:r w:rsidRPr="0076723F">
              <w:rPr>
                <w:rFonts w:ascii="Arial" w:hAnsi="Arial" w:cs="Arial"/>
                <w:color w:val="000000"/>
                <w:lang w:val="en-GB"/>
              </w:rPr>
              <w:t>Using technology to realise benefits which may otherwise have required traditional, physical investments. For example, a virtual team could be across multiple sites, using technology to connect them together into one team</w:t>
            </w:r>
          </w:p>
        </w:tc>
      </w:tr>
    </w:tbl>
    <w:p w14:paraId="4802DC75" w14:textId="77777777" w:rsidR="0051701A" w:rsidRPr="0076723F" w:rsidRDefault="0051701A">
      <w:pPr>
        <w:rPr>
          <w:lang w:val="en-GB"/>
        </w:rPr>
      </w:pPr>
    </w:p>
    <w:p w14:paraId="537247EC" w14:textId="77777777" w:rsidR="00620362" w:rsidRPr="0076723F" w:rsidRDefault="00620362">
      <w:pPr>
        <w:rPr>
          <w:lang w:val="en-GB"/>
        </w:rPr>
      </w:pPr>
    </w:p>
    <w:p w14:paraId="773D3BEE" w14:textId="4B8E7F69" w:rsidR="00666F1E" w:rsidRPr="0076723F" w:rsidRDefault="00666F1E" w:rsidP="0051701A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</w:p>
    <w:sectPr w:rsidR="00666F1E" w:rsidRPr="0076723F" w:rsidSect="009A24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1E"/>
    <w:rsid w:val="000120AD"/>
    <w:rsid w:val="000C27BF"/>
    <w:rsid w:val="000D23EF"/>
    <w:rsid w:val="000E3411"/>
    <w:rsid w:val="001E035E"/>
    <w:rsid w:val="001F1708"/>
    <w:rsid w:val="00250D59"/>
    <w:rsid w:val="00266A47"/>
    <w:rsid w:val="003E0C68"/>
    <w:rsid w:val="0051701A"/>
    <w:rsid w:val="00524F43"/>
    <w:rsid w:val="005860DE"/>
    <w:rsid w:val="00607786"/>
    <w:rsid w:val="00620362"/>
    <w:rsid w:val="00666F1E"/>
    <w:rsid w:val="0067295F"/>
    <w:rsid w:val="0076723F"/>
    <w:rsid w:val="007C6CA3"/>
    <w:rsid w:val="008508F6"/>
    <w:rsid w:val="008E2111"/>
    <w:rsid w:val="00932E98"/>
    <w:rsid w:val="009A24DF"/>
    <w:rsid w:val="009B5358"/>
    <w:rsid w:val="00A13E86"/>
    <w:rsid w:val="00A331A8"/>
    <w:rsid w:val="00AB42F5"/>
    <w:rsid w:val="00B53D51"/>
    <w:rsid w:val="00B6051B"/>
    <w:rsid w:val="00BE3F64"/>
    <w:rsid w:val="00C566C6"/>
    <w:rsid w:val="00CE01D4"/>
    <w:rsid w:val="00D80688"/>
    <w:rsid w:val="00DA5668"/>
    <w:rsid w:val="00DA623A"/>
    <w:rsid w:val="00DD3A49"/>
    <w:rsid w:val="00E11BD4"/>
    <w:rsid w:val="00E47234"/>
    <w:rsid w:val="00ED3A74"/>
    <w:rsid w:val="00E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D0DD9"/>
  <w15:chartTrackingRefBased/>
  <w15:docId w15:val="{537332A6-37A6-0F4A-BB15-C4FB7865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F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41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="Arial" w:eastAsiaTheme="majorEastAsia" w:hAnsi="Arial" w:cs="Arial"/>
      <w:b/>
      <w:bCs/>
      <w:kern w:val="2"/>
      <w:sz w:val="32"/>
      <w:szCs w:val="32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411"/>
    <w:rPr>
      <w:rFonts w:ascii="Arial" w:eastAsiaTheme="majorEastAsia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F1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666F1E"/>
  </w:style>
  <w:style w:type="table" w:styleId="TableGrid">
    <w:name w:val="Table Grid"/>
    <w:basedOn w:val="TableNormal"/>
    <w:uiPriority w:val="39"/>
    <w:rsid w:val="0051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Purdy</dc:creator>
  <cp:keywords/>
  <dc:description/>
  <cp:lastModifiedBy>Rowan Purdy</cp:lastModifiedBy>
  <cp:revision>9</cp:revision>
  <dcterms:created xsi:type="dcterms:W3CDTF">2024-06-12T17:51:00Z</dcterms:created>
  <dcterms:modified xsi:type="dcterms:W3CDTF">2024-06-12T18:02:00Z</dcterms:modified>
</cp:coreProperties>
</file>